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8A2" w:rsidRPr="009668A2" w:rsidRDefault="009668A2" w:rsidP="009668A2">
      <w:pPr>
        <w:spacing w:after="0" w:line="240" w:lineRule="auto"/>
        <w:rPr>
          <w:rFonts w:ascii="Century Gothic" w:eastAsia="Times New Roman" w:hAnsi="Century Gothic" w:cs="Times New Roman"/>
          <w:sz w:val="24"/>
          <w:szCs w:val="24"/>
        </w:rPr>
      </w:pPr>
      <w:r w:rsidRPr="009668A2">
        <w:rPr>
          <w:rFonts w:ascii="Century Gothic" w:eastAsia="Times New Roman" w:hAnsi="Century Gothic" w:cs="Times New Roman"/>
          <w:color w:val="17365D"/>
          <w:sz w:val="52"/>
          <w:szCs w:val="52"/>
        </w:rPr>
        <w:t>OUTLINE OF DASSC WRITING INQUIRY PUBLICATION: LESSONS LEARNED</w:t>
      </w:r>
    </w:p>
    <w:p w:rsidR="009668A2" w:rsidRPr="009668A2" w:rsidRDefault="0093413E" w:rsidP="009668A2">
      <w:pPr>
        <w:spacing w:after="0" w:line="240" w:lineRule="auto"/>
        <w:rPr>
          <w:rFonts w:ascii="Century Gothic" w:eastAsia="Times New Roman" w:hAnsi="Century Gothic" w:cs="Times New Roman"/>
          <w:sz w:val="24"/>
          <w:szCs w:val="24"/>
        </w:rPr>
      </w:pPr>
      <w:r w:rsidRPr="0093413E">
        <w:rPr>
          <w:rFonts w:ascii="Century Gothic" w:eastAsia="Times New Roman" w:hAnsi="Century Gothic" w:cs="Times New Roman"/>
          <w:sz w:val="24"/>
          <w:szCs w:val="24"/>
        </w:rPr>
        <w:pict>
          <v:rect id="_x0000_i1025" style="width:0;height:1.5pt" o:hralign="center" o:hrstd="t" o:hr="t" fillcolor="#a0a0a0" stroked="f"/>
        </w:pict>
      </w:r>
    </w:p>
    <w:p w:rsidR="009668A2" w:rsidRPr="009668A2" w:rsidRDefault="009668A2" w:rsidP="009668A2">
      <w:pPr>
        <w:spacing w:after="0" w:line="240" w:lineRule="auto"/>
        <w:rPr>
          <w:rFonts w:ascii="Century Gothic" w:eastAsia="Times New Roman" w:hAnsi="Century Gothic" w:cs="Times New Roman"/>
          <w:sz w:val="24"/>
          <w:szCs w:val="24"/>
        </w:rPr>
      </w:pPr>
    </w:p>
    <w:p w:rsidR="009668A2" w:rsidRPr="009668A2" w:rsidRDefault="009668A2" w:rsidP="009668A2">
      <w:pPr>
        <w:spacing w:before="100" w:beforeAutospacing="1" w:after="100" w:afterAutospacing="1" w:line="240" w:lineRule="auto"/>
        <w:outlineLvl w:val="0"/>
        <w:rPr>
          <w:rFonts w:ascii="Century Gothic" w:eastAsia="Times New Roman" w:hAnsi="Century Gothic" w:cs="Times New Roman"/>
          <w:b/>
          <w:bCs/>
          <w:kern w:val="36"/>
          <w:sz w:val="48"/>
          <w:szCs w:val="48"/>
        </w:rPr>
      </w:pPr>
      <w:r w:rsidRPr="009668A2">
        <w:rPr>
          <w:rFonts w:ascii="Century Gothic" w:eastAsia="Times New Roman" w:hAnsi="Century Gothic" w:cs="Times New Roman"/>
          <w:b/>
          <w:bCs/>
          <w:color w:val="365F91"/>
          <w:kern w:val="36"/>
          <w:sz w:val="28"/>
          <w:szCs w:val="28"/>
        </w:rPr>
        <w:t xml:space="preserve">Section 1: Statement of the </w:t>
      </w:r>
      <w:r>
        <w:rPr>
          <w:rFonts w:ascii="Century Gothic" w:eastAsia="Times New Roman" w:hAnsi="Century Gothic" w:cs="Times New Roman"/>
          <w:b/>
          <w:bCs/>
          <w:color w:val="365F91"/>
          <w:kern w:val="36"/>
          <w:sz w:val="28"/>
          <w:szCs w:val="28"/>
        </w:rPr>
        <w:t>issue</w:t>
      </w:r>
    </w:p>
    <w:p w:rsidR="009668A2" w:rsidRDefault="009668A2" w:rsidP="009668A2">
      <w:pPr>
        <w:spacing w:after="240" w:line="240" w:lineRule="auto"/>
        <w:rPr>
          <w:rFonts w:ascii="Century Gothic" w:eastAsia="Times New Roman" w:hAnsi="Century Gothic" w:cs="Times New Roman"/>
          <w:sz w:val="24"/>
          <w:szCs w:val="24"/>
        </w:rPr>
      </w:pPr>
      <w:r>
        <w:rPr>
          <w:rFonts w:ascii="Century Gothic" w:eastAsia="Times New Roman" w:hAnsi="Century Gothic" w:cs="Times New Roman"/>
          <w:sz w:val="24"/>
          <w:szCs w:val="24"/>
        </w:rPr>
        <w:t>Possible topics:</w:t>
      </w:r>
    </w:p>
    <w:p w:rsidR="003A046A" w:rsidRDefault="009668A2" w:rsidP="003A046A">
      <w:pPr>
        <w:pStyle w:val="ListParagraph"/>
        <w:numPr>
          <w:ilvl w:val="0"/>
          <w:numId w:val="3"/>
        </w:numPr>
        <w:spacing w:after="240" w:line="240" w:lineRule="auto"/>
        <w:rPr>
          <w:rFonts w:ascii="Century Gothic" w:eastAsia="Times New Roman" w:hAnsi="Century Gothic" w:cs="Times New Roman"/>
          <w:sz w:val="24"/>
          <w:szCs w:val="24"/>
        </w:rPr>
      </w:pPr>
      <w:r>
        <w:rPr>
          <w:rFonts w:ascii="Century Gothic" w:eastAsia="Times New Roman" w:hAnsi="Century Gothic" w:cs="Times New Roman"/>
          <w:sz w:val="24"/>
          <w:szCs w:val="24"/>
        </w:rPr>
        <w:t>Summary of statistics of remediation in college</w:t>
      </w:r>
    </w:p>
    <w:p w:rsidR="009668A2" w:rsidRDefault="009668A2" w:rsidP="003A046A">
      <w:pPr>
        <w:pStyle w:val="ListParagraph"/>
        <w:numPr>
          <w:ilvl w:val="0"/>
          <w:numId w:val="3"/>
        </w:numPr>
        <w:spacing w:after="240" w:line="240" w:lineRule="auto"/>
        <w:rPr>
          <w:rFonts w:ascii="Century Gothic" w:eastAsia="Times New Roman" w:hAnsi="Century Gothic" w:cs="Times New Roman"/>
          <w:sz w:val="24"/>
          <w:szCs w:val="24"/>
        </w:rPr>
      </w:pPr>
      <w:r w:rsidRPr="003A046A">
        <w:rPr>
          <w:rFonts w:ascii="Century Gothic" w:eastAsia="Times New Roman" w:hAnsi="Century Gothic" w:cs="Times New Roman"/>
          <w:sz w:val="24"/>
          <w:szCs w:val="24"/>
        </w:rPr>
        <w:t>Concern of superintendents and others</w:t>
      </w:r>
    </w:p>
    <w:p w:rsidR="008E3097" w:rsidRPr="003A046A" w:rsidRDefault="008E3097" w:rsidP="003A046A">
      <w:pPr>
        <w:pStyle w:val="ListParagraph"/>
        <w:numPr>
          <w:ilvl w:val="0"/>
          <w:numId w:val="3"/>
        </w:numPr>
        <w:spacing w:after="240" w:line="240" w:lineRule="auto"/>
        <w:rPr>
          <w:rFonts w:ascii="Century Gothic" w:eastAsia="Times New Roman" w:hAnsi="Century Gothic" w:cs="Times New Roman"/>
          <w:sz w:val="24"/>
          <w:szCs w:val="24"/>
        </w:rPr>
      </w:pPr>
      <w:r>
        <w:rPr>
          <w:rFonts w:ascii="Century Gothic" w:eastAsia="Times New Roman" w:hAnsi="Century Gothic" w:cs="Times New Roman"/>
          <w:sz w:val="24"/>
          <w:szCs w:val="24"/>
        </w:rPr>
        <w:t>Writing assessment data (NAEP, CSAP)</w:t>
      </w:r>
    </w:p>
    <w:p w:rsidR="009668A2" w:rsidRPr="009668A2" w:rsidRDefault="009668A2" w:rsidP="009668A2">
      <w:pPr>
        <w:spacing w:before="100" w:beforeAutospacing="1" w:after="100" w:afterAutospacing="1" w:line="240" w:lineRule="auto"/>
        <w:outlineLvl w:val="0"/>
        <w:rPr>
          <w:rFonts w:ascii="Century Gothic" w:eastAsia="Times New Roman" w:hAnsi="Century Gothic" w:cs="Times New Roman"/>
          <w:b/>
          <w:bCs/>
          <w:kern w:val="36"/>
          <w:sz w:val="48"/>
          <w:szCs w:val="48"/>
        </w:rPr>
      </w:pPr>
      <w:r w:rsidRPr="009668A2">
        <w:rPr>
          <w:rFonts w:ascii="Century Gothic" w:eastAsia="Times New Roman" w:hAnsi="Century Gothic" w:cs="Times New Roman"/>
          <w:b/>
          <w:bCs/>
          <w:color w:val="365F91"/>
          <w:kern w:val="36"/>
          <w:sz w:val="28"/>
          <w:szCs w:val="28"/>
        </w:rPr>
        <w:t>Section 2:  A summary of the writing inquiry</w:t>
      </w:r>
    </w:p>
    <w:p w:rsidR="009668A2" w:rsidRPr="003A046A" w:rsidRDefault="009668A2" w:rsidP="009668A2">
      <w:pPr>
        <w:spacing w:after="240" w:line="240" w:lineRule="auto"/>
        <w:rPr>
          <w:rFonts w:ascii="Century Gothic" w:eastAsia="Times New Roman" w:hAnsi="Century Gothic" w:cs="Times New Roman"/>
          <w:color w:val="000000"/>
        </w:rPr>
      </w:pPr>
      <w:r w:rsidRPr="003A046A">
        <w:rPr>
          <w:rFonts w:ascii="Century Gothic" w:eastAsia="Times New Roman" w:hAnsi="Century Gothic" w:cs="Times New Roman"/>
          <w:color w:val="000000"/>
        </w:rPr>
        <w:t>Possible topics:</w:t>
      </w:r>
    </w:p>
    <w:p w:rsidR="009668A2" w:rsidRPr="003A046A" w:rsidRDefault="009668A2" w:rsidP="009668A2">
      <w:pPr>
        <w:pStyle w:val="ListParagraph"/>
        <w:numPr>
          <w:ilvl w:val="0"/>
          <w:numId w:val="4"/>
        </w:numPr>
        <w:spacing w:after="240" w:line="240" w:lineRule="auto"/>
        <w:rPr>
          <w:rFonts w:ascii="Century Gothic" w:eastAsia="Times New Roman" w:hAnsi="Century Gothic" w:cs="Times New Roman"/>
        </w:rPr>
      </w:pPr>
      <w:r w:rsidRPr="003A046A">
        <w:rPr>
          <w:rFonts w:ascii="Century Gothic" w:eastAsia="Times New Roman" w:hAnsi="Century Gothic" w:cs="Times New Roman"/>
          <w:color w:val="000000"/>
        </w:rPr>
        <w:t>The participants</w:t>
      </w:r>
    </w:p>
    <w:p w:rsidR="009668A2" w:rsidRPr="003A046A" w:rsidRDefault="009668A2" w:rsidP="009668A2">
      <w:pPr>
        <w:pStyle w:val="ListParagraph"/>
        <w:numPr>
          <w:ilvl w:val="0"/>
          <w:numId w:val="4"/>
        </w:numPr>
        <w:spacing w:after="240" w:line="240" w:lineRule="auto"/>
        <w:rPr>
          <w:rFonts w:ascii="Century Gothic" w:eastAsia="Times New Roman" w:hAnsi="Century Gothic" w:cs="Times New Roman"/>
        </w:rPr>
      </w:pPr>
      <w:r w:rsidRPr="003A046A">
        <w:rPr>
          <w:rFonts w:ascii="Century Gothic" w:eastAsia="Times New Roman" w:hAnsi="Century Gothic" w:cs="Times New Roman"/>
          <w:color w:val="000000"/>
        </w:rPr>
        <w:t>A brief overview of the meetings</w:t>
      </w:r>
    </w:p>
    <w:p w:rsidR="009668A2" w:rsidRPr="003A046A" w:rsidRDefault="009668A2" w:rsidP="009668A2">
      <w:pPr>
        <w:pStyle w:val="ListParagraph"/>
        <w:numPr>
          <w:ilvl w:val="0"/>
          <w:numId w:val="4"/>
        </w:numPr>
        <w:spacing w:after="240" w:line="240" w:lineRule="auto"/>
        <w:rPr>
          <w:rFonts w:ascii="Century Gothic" w:eastAsia="Times New Roman" w:hAnsi="Century Gothic" w:cs="Times New Roman"/>
        </w:rPr>
      </w:pPr>
      <w:r w:rsidRPr="003A046A">
        <w:rPr>
          <w:rFonts w:ascii="Century Gothic" w:eastAsia="Times New Roman" w:hAnsi="Century Gothic" w:cs="Times New Roman"/>
          <w:color w:val="000000"/>
        </w:rPr>
        <w:t>A list of our readings</w:t>
      </w:r>
    </w:p>
    <w:p w:rsidR="003A046A" w:rsidRPr="003A046A" w:rsidRDefault="003A046A" w:rsidP="009668A2">
      <w:pPr>
        <w:pStyle w:val="ListParagraph"/>
        <w:numPr>
          <w:ilvl w:val="0"/>
          <w:numId w:val="4"/>
        </w:numPr>
        <w:spacing w:after="240" w:line="240" w:lineRule="auto"/>
        <w:rPr>
          <w:rFonts w:ascii="Century Gothic" w:eastAsia="Times New Roman" w:hAnsi="Century Gothic" w:cs="Times New Roman"/>
        </w:rPr>
      </w:pPr>
      <w:r w:rsidRPr="003A046A">
        <w:rPr>
          <w:rFonts w:ascii="Century Gothic" w:eastAsia="Times New Roman" w:hAnsi="Century Gothic" w:cs="Times New Roman"/>
          <w:color w:val="000000"/>
        </w:rPr>
        <w:t>Reference to the wiki</w:t>
      </w:r>
    </w:p>
    <w:p w:rsidR="003A046A" w:rsidRPr="003A046A" w:rsidRDefault="003A046A" w:rsidP="003A046A">
      <w:pPr>
        <w:pStyle w:val="ListParagraph"/>
        <w:numPr>
          <w:ilvl w:val="0"/>
          <w:numId w:val="4"/>
        </w:numPr>
        <w:spacing w:after="240" w:line="240" w:lineRule="auto"/>
        <w:rPr>
          <w:rFonts w:ascii="Century Gothic" w:eastAsia="Times New Roman" w:hAnsi="Century Gothic" w:cs="Times New Roman"/>
        </w:rPr>
      </w:pPr>
      <w:r w:rsidRPr="003A046A">
        <w:rPr>
          <w:rFonts w:ascii="Century Gothic" w:eastAsia="Times New Roman" w:hAnsi="Century Gothic" w:cs="Times New Roman"/>
          <w:color w:val="000000"/>
        </w:rPr>
        <w:t xml:space="preserve">A progression of our discourse </w:t>
      </w:r>
    </w:p>
    <w:p w:rsidR="003A046A" w:rsidRDefault="009668A2" w:rsidP="009668A2">
      <w:pPr>
        <w:spacing w:before="100" w:beforeAutospacing="1" w:after="100" w:afterAutospacing="1" w:line="240" w:lineRule="auto"/>
        <w:outlineLvl w:val="0"/>
        <w:rPr>
          <w:rFonts w:ascii="Century Gothic" w:eastAsia="Times New Roman" w:hAnsi="Century Gothic" w:cs="Times New Roman"/>
          <w:b/>
          <w:bCs/>
          <w:color w:val="365F91"/>
          <w:kern w:val="36"/>
          <w:sz w:val="28"/>
          <w:szCs w:val="28"/>
        </w:rPr>
      </w:pPr>
      <w:r w:rsidRPr="009668A2">
        <w:rPr>
          <w:rFonts w:ascii="Century Gothic" w:eastAsia="Times New Roman" w:hAnsi="Century Gothic" w:cs="Times New Roman"/>
          <w:b/>
          <w:bCs/>
          <w:color w:val="365F91"/>
          <w:kern w:val="36"/>
          <w:sz w:val="28"/>
          <w:szCs w:val="28"/>
        </w:rPr>
        <w:t xml:space="preserve">Section 3: </w:t>
      </w:r>
      <w:r w:rsidR="003A046A">
        <w:rPr>
          <w:rFonts w:ascii="Century Gothic" w:eastAsia="Times New Roman" w:hAnsi="Century Gothic" w:cs="Times New Roman"/>
          <w:b/>
          <w:bCs/>
          <w:color w:val="365F91"/>
          <w:kern w:val="36"/>
          <w:sz w:val="28"/>
          <w:szCs w:val="28"/>
        </w:rPr>
        <w:t>Insights from the inquiry</w:t>
      </w:r>
    </w:p>
    <w:p w:rsidR="003A046A" w:rsidRPr="003A046A" w:rsidRDefault="003A046A" w:rsidP="003A046A">
      <w:pPr>
        <w:rPr>
          <w:rFonts w:ascii="Century Gothic" w:hAnsi="Century Gothic"/>
          <w:kern w:val="36"/>
        </w:rPr>
      </w:pPr>
      <w:r w:rsidRPr="003A046A">
        <w:rPr>
          <w:rFonts w:ascii="Century Gothic" w:hAnsi="Century Gothic"/>
          <w:kern w:val="36"/>
        </w:rPr>
        <w:t>Possible topics:</w:t>
      </w:r>
    </w:p>
    <w:p w:rsidR="003A046A" w:rsidRPr="003A046A" w:rsidRDefault="003A046A" w:rsidP="003A046A">
      <w:pPr>
        <w:pStyle w:val="ListParagraph"/>
        <w:numPr>
          <w:ilvl w:val="0"/>
          <w:numId w:val="5"/>
        </w:numPr>
        <w:rPr>
          <w:rFonts w:ascii="Century Gothic" w:hAnsi="Century Gothic"/>
          <w:kern w:val="36"/>
        </w:rPr>
      </w:pPr>
      <w:r w:rsidRPr="003A046A">
        <w:rPr>
          <w:rFonts w:ascii="Century Gothic" w:hAnsi="Century Gothic"/>
          <w:kern w:val="36"/>
        </w:rPr>
        <w:t xml:space="preserve">How students are placed in remedial writing courses (to include clarifications about which universities/community colleges do/do not offer remedial writing courses and our insights into the </w:t>
      </w:r>
      <w:proofErr w:type="spellStart"/>
      <w:r w:rsidRPr="003A046A">
        <w:rPr>
          <w:rFonts w:ascii="Century Gothic" w:hAnsi="Century Gothic"/>
          <w:kern w:val="36"/>
        </w:rPr>
        <w:t>Accuplacer</w:t>
      </w:r>
      <w:proofErr w:type="spellEnd"/>
      <w:r w:rsidRPr="003A046A">
        <w:rPr>
          <w:rFonts w:ascii="Century Gothic" w:hAnsi="Century Gothic"/>
          <w:kern w:val="36"/>
        </w:rPr>
        <w:t>)</w:t>
      </w:r>
    </w:p>
    <w:p w:rsidR="003A046A" w:rsidRPr="003A046A" w:rsidRDefault="003A046A" w:rsidP="003A046A">
      <w:pPr>
        <w:pStyle w:val="ListParagraph"/>
        <w:numPr>
          <w:ilvl w:val="0"/>
          <w:numId w:val="5"/>
        </w:numPr>
        <w:rPr>
          <w:rFonts w:ascii="Century Gothic" w:hAnsi="Century Gothic"/>
          <w:kern w:val="36"/>
        </w:rPr>
      </w:pPr>
      <w:r w:rsidRPr="003A046A">
        <w:rPr>
          <w:rFonts w:ascii="Century Gothic" w:hAnsi="Century Gothic"/>
          <w:kern w:val="36"/>
        </w:rPr>
        <w:t>What colleges are looking for in terms of writing (to include the Writing Program Outcomes on John Ackerman’s power point on the wiki)</w:t>
      </w:r>
    </w:p>
    <w:p w:rsidR="003A046A" w:rsidRDefault="003A046A" w:rsidP="003A046A">
      <w:pPr>
        <w:pStyle w:val="ListParagraph"/>
        <w:numPr>
          <w:ilvl w:val="0"/>
          <w:numId w:val="5"/>
        </w:numPr>
        <w:rPr>
          <w:rFonts w:ascii="Century Gothic" w:hAnsi="Century Gothic"/>
          <w:kern w:val="36"/>
        </w:rPr>
      </w:pPr>
      <w:r w:rsidRPr="003A046A">
        <w:rPr>
          <w:rFonts w:ascii="Century Gothic" w:hAnsi="Century Gothic"/>
          <w:kern w:val="36"/>
        </w:rPr>
        <w:t>What students are actually writing (to include the preponderance of the five paragraph essay and literary analysis)</w:t>
      </w:r>
    </w:p>
    <w:p w:rsidR="003A046A" w:rsidRPr="003A046A" w:rsidRDefault="003A046A" w:rsidP="003A046A">
      <w:pPr>
        <w:pStyle w:val="ListParagraph"/>
        <w:numPr>
          <w:ilvl w:val="0"/>
          <w:numId w:val="5"/>
        </w:numPr>
        <w:rPr>
          <w:rFonts w:ascii="Century Gothic" w:hAnsi="Century Gothic"/>
          <w:kern w:val="36"/>
        </w:rPr>
      </w:pPr>
      <w:r>
        <w:rPr>
          <w:rFonts w:ascii="Century Gothic" w:hAnsi="Century Gothic"/>
          <w:kern w:val="36"/>
        </w:rPr>
        <w:t>Reference to annotated student work</w:t>
      </w:r>
    </w:p>
    <w:p w:rsidR="009668A2" w:rsidRPr="009668A2" w:rsidRDefault="003A046A" w:rsidP="009668A2">
      <w:pPr>
        <w:spacing w:before="100" w:beforeAutospacing="1" w:after="100" w:afterAutospacing="1" w:line="240" w:lineRule="auto"/>
        <w:outlineLvl w:val="0"/>
        <w:rPr>
          <w:rFonts w:ascii="Century Gothic" w:eastAsia="Times New Roman" w:hAnsi="Century Gothic" w:cs="Times New Roman"/>
          <w:b/>
          <w:bCs/>
          <w:kern w:val="36"/>
          <w:sz w:val="48"/>
          <w:szCs w:val="48"/>
        </w:rPr>
      </w:pPr>
      <w:r>
        <w:rPr>
          <w:rFonts w:ascii="Century Gothic" w:eastAsia="Times New Roman" w:hAnsi="Century Gothic" w:cs="Times New Roman"/>
          <w:b/>
          <w:bCs/>
          <w:color w:val="365F91"/>
          <w:kern w:val="36"/>
          <w:sz w:val="28"/>
          <w:szCs w:val="28"/>
        </w:rPr>
        <w:t xml:space="preserve">Section 4: </w:t>
      </w:r>
      <w:r w:rsidR="009668A2" w:rsidRPr="009668A2">
        <w:rPr>
          <w:rFonts w:ascii="Century Gothic" w:eastAsia="Times New Roman" w:hAnsi="Century Gothic" w:cs="Times New Roman"/>
          <w:b/>
          <w:bCs/>
          <w:color w:val="365F91"/>
          <w:kern w:val="36"/>
          <w:sz w:val="28"/>
          <w:szCs w:val="28"/>
        </w:rPr>
        <w:t> Implications for curriculum</w:t>
      </w:r>
    </w:p>
    <w:p w:rsidR="009668A2" w:rsidRPr="003A046A" w:rsidRDefault="009668A2" w:rsidP="009668A2">
      <w:pPr>
        <w:rPr>
          <w:rFonts w:ascii="Century Gothic" w:hAnsi="Century Gothic"/>
        </w:rPr>
      </w:pPr>
      <w:r w:rsidRPr="003A046A">
        <w:rPr>
          <w:rFonts w:ascii="Century Gothic" w:hAnsi="Century Gothic"/>
        </w:rPr>
        <w:t>Possible topics</w:t>
      </w:r>
    </w:p>
    <w:p w:rsidR="009668A2" w:rsidRPr="003A046A" w:rsidRDefault="009668A2" w:rsidP="009668A2">
      <w:pPr>
        <w:pStyle w:val="ListParagraph"/>
        <w:numPr>
          <w:ilvl w:val="0"/>
          <w:numId w:val="2"/>
        </w:numPr>
        <w:rPr>
          <w:rFonts w:ascii="Century Gothic" w:hAnsi="Century Gothic"/>
        </w:rPr>
      </w:pPr>
      <w:r w:rsidRPr="003A046A">
        <w:rPr>
          <w:rFonts w:ascii="Century Gothic" w:hAnsi="Century Gothic"/>
        </w:rPr>
        <w:t>Expanding the kind of writing students are doing currently</w:t>
      </w:r>
    </w:p>
    <w:p w:rsidR="009668A2" w:rsidRPr="003A046A" w:rsidRDefault="009668A2" w:rsidP="009668A2">
      <w:pPr>
        <w:pStyle w:val="ListParagraph"/>
        <w:numPr>
          <w:ilvl w:val="0"/>
          <w:numId w:val="2"/>
        </w:numPr>
        <w:rPr>
          <w:rFonts w:ascii="Century Gothic" w:hAnsi="Century Gothic"/>
        </w:rPr>
      </w:pPr>
      <w:r w:rsidRPr="003A046A">
        <w:rPr>
          <w:rFonts w:ascii="Century Gothic" w:hAnsi="Century Gothic"/>
        </w:rPr>
        <w:t>Reconsidering the genres that are taught</w:t>
      </w:r>
    </w:p>
    <w:p w:rsidR="009668A2" w:rsidRPr="003A046A" w:rsidRDefault="009668A2" w:rsidP="009668A2">
      <w:pPr>
        <w:pStyle w:val="ListParagraph"/>
        <w:numPr>
          <w:ilvl w:val="0"/>
          <w:numId w:val="2"/>
        </w:numPr>
        <w:rPr>
          <w:rFonts w:ascii="Century Gothic" w:hAnsi="Century Gothic"/>
        </w:rPr>
      </w:pPr>
      <w:r w:rsidRPr="003A046A">
        <w:rPr>
          <w:rFonts w:ascii="Century Gothic" w:hAnsi="Century Gothic"/>
        </w:rPr>
        <w:lastRenderedPageBreak/>
        <w:t>Clarifying the concept of teaching for transfer so that students transfer their insights about writing from one grade to another and so that the curriculum is designed for this transfer to happen</w:t>
      </w:r>
    </w:p>
    <w:p w:rsidR="009668A2" w:rsidRPr="003A046A" w:rsidRDefault="009668A2" w:rsidP="009668A2">
      <w:pPr>
        <w:pStyle w:val="ListParagraph"/>
        <w:numPr>
          <w:ilvl w:val="0"/>
          <w:numId w:val="2"/>
        </w:numPr>
        <w:rPr>
          <w:rFonts w:ascii="Century Gothic" w:hAnsi="Century Gothic"/>
        </w:rPr>
      </w:pPr>
      <w:r w:rsidRPr="003A046A">
        <w:rPr>
          <w:rFonts w:ascii="Century Gothic" w:hAnsi="Century Gothic"/>
          <w:sz w:val="24"/>
          <w:szCs w:val="24"/>
        </w:rPr>
        <w:t>PreK-20 alignment</w:t>
      </w:r>
    </w:p>
    <w:p w:rsidR="009668A2" w:rsidRPr="003A046A" w:rsidRDefault="009668A2" w:rsidP="009668A2">
      <w:pPr>
        <w:pStyle w:val="ListParagraph"/>
        <w:numPr>
          <w:ilvl w:val="0"/>
          <w:numId w:val="2"/>
        </w:numPr>
        <w:rPr>
          <w:rFonts w:ascii="Century Gothic" w:eastAsia="Times New Roman" w:hAnsi="Century Gothic" w:cs="Times New Roman"/>
          <w:sz w:val="24"/>
          <w:szCs w:val="24"/>
        </w:rPr>
      </w:pPr>
      <w:r w:rsidRPr="003A046A">
        <w:rPr>
          <w:rFonts w:ascii="Century Gothic" w:hAnsi="Century Gothic"/>
          <w:sz w:val="24"/>
          <w:szCs w:val="24"/>
        </w:rPr>
        <w:t>Writing in the disciplines (which is much more than writing to learn or writing across the curriculum)</w:t>
      </w:r>
    </w:p>
    <w:p w:rsidR="009668A2" w:rsidRPr="009668A2" w:rsidRDefault="009668A2" w:rsidP="009668A2">
      <w:pPr>
        <w:spacing w:before="100" w:beforeAutospacing="1" w:after="100" w:afterAutospacing="1" w:line="240" w:lineRule="auto"/>
        <w:outlineLvl w:val="0"/>
        <w:rPr>
          <w:rFonts w:ascii="Century Gothic" w:eastAsia="Times New Roman" w:hAnsi="Century Gothic" w:cs="Times New Roman"/>
          <w:b/>
          <w:bCs/>
          <w:kern w:val="36"/>
          <w:sz w:val="48"/>
          <w:szCs w:val="48"/>
        </w:rPr>
      </w:pPr>
      <w:r w:rsidRPr="009668A2">
        <w:rPr>
          <w:rFonts w:ascii="Century Gothic" w:eastAsia="Times New Roman" w:hAnsi="Century Gothic" w:cs="Times New Roman"/>
          <w:b/>
          <w:bCs/>
          <w:color w:val="365F91"/>
          <w:kern w:val="36"/>
          <w:sz w:val="28"/>
          <w:szCs w:val="28"/>
        </w:rPr>
        <w:t xml:space="preserve">Section </w:t>
      </w:r>
      <w:r w:rsidR="003A046A">
        <w:rPr>
          <w:rFonts w:ascii="Century Gothic" w:eastAsia="Times New Roman" w:hAnsi="Century Gothic" w:cs="Times New Roman"/>
          <w:b/>
          <w:bCs/>
          <w:color w:val="365F91"/>
          <w:kern w:val="36"/>
          <w:sz w:val="28"/>
          <w:szCs w:val="28"/>
        </w:rPr>
        <w:t>5</w:t>
      </w:r>
      <w:r w:rsidRPr="009668A2">
        <w:rPr>
          <w:rFonts w:ascii="Century Gothic" w:eastAsia="Times New Roman" w:hAnsi="Century Gothic" w:cs="Times New Roman"/>
          <w:b/>
          <w:bCs/>
          <w:color w:val="365F91"/>
          <w:kern w:val="36"/>
          <w:sz w:val="28"/>
          <w:szCs w:val="28"/>
        </w:rPr>
        <w:t>: Remaining issues</w:t>
      </w:r>
    </w:p>
    <w:p w:rsidR="009668A2" w:rsidRPr="009668A2" w:rsidRDefault="009668A2" w:rsidP="009668A2">
      <w:pPr>
        <w:spacing w:after="0" w:line="240" w:lineRule="auto"/>
        <w:rPr>
          <w:rFonts w:ascii="Century Gothic" w:eastAsia="Times New Roman" w:hAnsi="Century Gothic" w:cs="Times New Roman"/>
        </w:rPr>
      </w:pPr>
      <w:r w:rsidRPr="009668A2">
        <w:rPr>
          <w:rFonts w:ascii="Century Gothic" w:eastAsia="Times New Roman" w:hAnsi="Century Gothic" w:cs="Times New Roman"/>
          <w:color w:val="000000"/>
        </w:rPr>
        <w:t>To include attention to writing in the disciplines, building community resources, Common Core Standards</w:t>
      </w:r>
      <w:r w:rsidR="008E3097">
        <w:rPr>
          <w:rFonts w:ascii="Century Gothic" w:eastAsia="Times New Roman" w:hAnsi="Century Gothic" w:cs="Times New Roman"/>
          <w:color w:val="000000"/>
        </w:rPr>
        <w:t>, 21</w:t>
      </w:r>
      <w:r w:rsidR="008E3097" w:rsidRPr="008E3097">
        <w:rPr>
          <w:rFonts w:ascii="Century Gothic" w:eastAsia="Times New Roman" w:hAnsi="Century Gothic" w:cs="Times New Roman"/>
          <w:color w:val="000000"/>
          <w:vertAlign w:val="superscript"/>
        </w:rPr>
        <w:t>st</w:t>
      </w:r>
      <w:r w:rsidR="008E3097">
        <w:rPr>
          <w:rFonts w:ascii="Century Gothic" w:eastAsia="Times New Roman" w:hAnsi="Century Gothic" w:cs="Times New Roman"/>
          <w:color w:val="000000"/>
        </w:rPr>
        <w:t xml:space="preserve"> C literacy, structure of the HS (time, etc.), instructional support</w:t>
      </w:r>
    </w:p>
    <w:p w:rsidR="009668A2" w:rsidRPr="009668A2" w:rsidRDefault="009668A2" w:rsidP="009668A2">
      <w:pPr>
        <w:spacing w:before="100" w:beforeAutospacing="1" w:after="100" w:afterAutospacing="1" w:line="240" w:lineRule="auto"/>
        <w:outlineLvl w:val="0"/>
        <w:rPr>
          <w:rFonts w:ascii="Century Gothic" w:eastAsia="Times New Roman" w:hAnsi="Century Gothic" w:cs="Times New Roman"/>
          <w:b/>
          <w:bCs/>
          <w:kern w:val="36"/>
          <w:sz w:val="48"/>
          <w:szCs w:val="48"/>
        </w:rPr>
      </w:pPr>
      <w:r w:rsidRPr="009668A2">
        <w:rPr>
          <w:rFonts w:ascii="Century Gothic" w:eastAsia="Times New Roman" w:hAnsi="Century Gothic" w:cs="Times New Roman"/>
          <w:b/>
          <w:bCs/>
          <w:color w:val="365F91"/>
          <w:kern w:val="36"/>
          <w:sz w:val="28"/>
          <w:szCs w:val="28"/>
        </w:rPr>
        <w:t xml:space="preserve">Section </w:t>
      </w:r>
      <w:r w:rsidR="003A046A">
        <w:rPr>
          <w:rFonts w:ascii="Century Gothic" w:eastAsia="Times New Roman" w:hAnsi="Century Gothic" w:cs="Times New Roman"/>
          <w:b/>
          <w:bCs/>
          <w:color w:val="365F91"/>
          <w:kern w:val="36"/>
          <w:sz w:val="28"/>
          <w:szCs w:val="28"/>
        </w:rPr>
        <w:t>6</w:t>
      </w:r>
      <w:r w:rsidRPr="009668A2">
        <w:rPr>
          <w:rFonts w:ascii="Century Gothic" w:eastAsia="Times New Roman" w:hAnsi="Century Gothic" w:cs="Times New Roman"/>
          <w:b/>
          <w:bCs/>
          <w:color w:val="365F91"/>
          <w:kern w:val="36"/>
          <w:sz w:val="28"/>
          <w:szCs w:val="28"/>
        </w:rPr>
        <w:t>:  Next steps</w:t>
      </w:r>
    </w:p>
    <w:p w:rsidR="009668A2" w:rsidRPr="003A046A" w:rsidRDefault="009668A2" w:rsidP="009668A2">
      <w:pPr>
        <w:rPr>
          <w:rFonts w:ascii="Century Gothic" w:eastAsia="Times New Roman" w:hAnsi="Century Gothic" w:cs="Times New Roman"/>
        </w:rPr>
      </w:pPr>
      <w:r w:rsidRPr="003A046A">
        <w:rPr>
          <w:rFonts w:ascii="Century Gothic" w:eastAsia="Times New Roman" w:hAnsi="Century Gothic" w:cs="Times New Roman"/>
          <w:color w:val="000000"/>
        </w:rPr>
        <w:t>To include resources needed, next year, ongoing support, professional learning needs, ways to expand this inquiry so that other grades are included</w:t>
      </w:r>
      <w:r w:rsidR="008E3097">
        <w:rPr>
          <w:rFonts w:ascii="Century Gothic" w:eastAsia="Times New Roman" w:hAnsi="Century Gothic" w:cs="Times New Roman"/>
          <w:color w:val="000000"/>
        </w:rPr>
        <w:t>, involvement of other districts and other universities and colleges</w:t>
      </w:r>
    </w:p>
    <w:p w:rsidR="00000299" w:rsidRDefault="009668A2" w:rsidP="009668A2">
      <w:pPr>
        <w:rPr>
          <w:rFonts w:ascii="Century Gothic" w:eastAsia="Times New Roman" w:hAnsi="Century Gothic" w:cs="Times New Roman"/>
          <w:color w:val="000000"/>
        </w:rPr>
      </w:pPr>
      <w:r w:rsidRPr="009668A2">
        <w:rPr>
          <w:rFonts w:ascii="Century Gothic" w:eastAsia="Times New Roman" w:hAnsi="Century Gothic" w:cs="Times New Roman"/>
          <w:sz w:val="24"/>
          <w:szCs w:val="24"/>
        </w:rPr>
        <w:br/>
      </w:r>
      <w:r w:rsidRPr="009668A2">
        <w:rPr>
          <w:rFonts w:ascii="Century Gothic" w:eastAsia="Times New Roman" w:hAnsi="Century Gothic" w:cs="Times New Roman"/>
          <w:b/>
          <w:bCs/>
          <w:color w:val="365F91"/>
          <w:sz w:val="28"/>
          <w:szCs w:val="28"/>
        </w:rPr>
        <w:t xml:space="preserve">Section </w:t>
      </w:r>
      <w:r w:rsidR="003A046A">
        <w:rPr>
          <w:rFonts w:ascii="Century Gothic" w:eastAsia="Times New Roman" w:hAnsi="Century Gothic" w:cs="Times New Roman"/>
          <w:b/>
          <w:bCs/>
          <w:color w:val="365F91"/>
          <w:sz w:val="28"/>
          <w:szCs w:val="28"/>
        </w:rPr>
        <w:t>7</w:t>
      </w:r>
      <w:r w:rsidRPr="009668A2">
        <w:rPr>
          <w:rFonts w:ascii="Century Gothic" w:eastAsia="Times New Roman" w:hAnsi="Century Gothic" w:cs="Times New Roman"/>
          <w:color w:val="000000"/>
          <w:sz w:val="20"/>
          <w:szCs w:val="20"/>
        </w:rPr>
        <w:t xml:space="preserve">: </w:t>
      </w:r>
      <w:r w:rsidRPr="003A046A">
        <w:rPr>
          <w:rFonts w:ascii="Century Gothic" w:eastAsia="Times New Roman" w:hAnsi="Century Gothic" w:cs="Times New Roman"/>
          <w:color w:val="000000"/>
        </w:rPr>
        <w:t>Thank you to the DASSC and to Aurora/Douglas for the support in doing this important work.</w:t>
      </w:r>
    </w:p>
    <w:p w:rsidR="003A046A" w:rsidRDefault="003A046A" w:rsidP="003A046A">
      <w:pPr>
        <w:spacing w:before="100" w:beforeAutospacing="1" w:after="100" w:afterAutospacing="1" w:line="240" w:lineRule="auto"/>
        <w:outlineLvl w:val="0"/>
        <w:rPr>
          <w:rFonts w:ascii="Century Gothic" w:eastAsia="Times New Roman" w:hAnsi="Century Gothic" w:cs="Times New Roman"/>
          <w:b/>
          <w:bCs/>
          <w:color w:val="365F91"/>
          <w:kern w:val="36"/>
          <w:sz w:val="28"/>
          <w:szCs w:val="28"/>
        </w:rPr>
      </w:pPr>
      <w:r w:rsidRPr="009668A2">
        <w:rPr>
          <w:rFonts w:ascii="Century Gothic" w:eastAsia="Times New Roman" w:hAnsi="Century Gothic" w:cs="Times New Roman"/>
          <w:b/>
          <w:bCs/>
          <w:color w:val="365F91"/>
          <w:kern w:val="36"/>
          <w:sz w:val="28"/>
          <w:szCs w:val="28"/>
        </w:rPr>
        <w:t xml:space="preserve">Section </w:t>
      </w:r>
      <w:r>
        <w:rPr>
          <w:rFonts w:ascii="Century Gothic" w:eastAsia="Times New Roman" w:hAnsi="Century Gothic" w:cs="Times New Roman"/>
          <w:b/>
          <w:bCs/>
          <w:color w:val="365F91"/>
          <w:kern w:val="36"/>
          <w:sz w:val="28"/>
          <w:szCs w:val="28"/>
        </w:rPr>
        <w:t>8: Appendix</w:t>
      </w:r>
    </w:p>
    <w:p w:rsidR="003A046A" w:rsidRPr="003A046A" w:rsidRDefault="003A046A" w:rsidP="003A046A">
      <w:pPr>
        <w:pStyle w:val="ListParagraph"/>
        <w:numPr>
          <w:ilvl w:val="0"/>
          <w:numId w:val="7"/>
        </w:numPr>
        <w:rPr>
          <w:rFonts w:ascii="Century Gothic" w:hAnsi="Century Gothic"/>
          <w:kern w:val="36"/>
        </w:rPr>
      </w:pPr>
      <w:r w:rsidRPr="003A046A">
        <w:rPr>
          <w:rFonts w:ascii="Century Gothic" w:hAnsi="Century Gothic"/>
          <w:kern w:val="36"/>
        </w:rPr>
        <w:t>Annotated student work</w:t>
      </w:r>
    </w:p>
    <w:p w:rsidR="003A046A" w:rsidRDefault="003A046A" w:rsidP="003A046A">
      <w:pPr>
        <w:pStyle w:val="ListParagraph"/>
        <w:numPr>
          <w:ilvl w:val="0"/>
          <w:numId w:val="7"/>
        </w:numPr>
        <w:rPr>
          <w:rFonts w:ascii="Century Gothic" w:hAnsi="Century Gothic"/>
          <w:kern w:val="36"/>
        </w:rPr>
      </w:pPr>
      <w:r w:rsidRPr="003A046A">
        <w:rPr>
          <w:rFonts w:ascii="Century Gothic" w:hAnsi="Century Gothic"/>
          <w:kern w:val="36"/>
        </w:rPr>
        <w:t>List of readings</w:t>
      </w:r>
    </w:p>
    <w:p w:rsidR="003A046A" w:rsidRPr="003A046A" w:rsidRDefault="003A046A" w:rsidP="003A046A">
      <w:pPr>
        <w:pStyle w:val="ListParagraph"/>
        <w:numPr>
          <w:ilvl w:val="0"/>
          <w:numId w:val="7"/>
        </w:numPr>
        <w:rPr>
          <w:rFonts w:ascii="Century Gothic" w:hAnsi="Century Gothic"/>
          <w:kern w:val="36"/>
        </w:rPr>
      </w:pPr>
      <w:r>
        <w:rPr>
          <w:rFonts w:ascii="Century Gothic" w:hAnsi="Century Gothic"/>
          <w:kern w:val="36"/>
        </w:rPr>
        <w:t>Etc.</w:t>
      </w:r>
    </w:p>
    <w:p w:rsidR="003A046A" w:rsidRPr="003A046A" w:rsidRDefault="003A046A" w:rsidP="003A046A">
      <w:pPr>
        <w:rPr>
          <w:rFonts w:ascii="Century Gothic" w:hAnsi="Century Gothic"/>
          <w:kern w:val="36"/>
        </w:rPr>
      </w:pPr>
    </w:p>
    <w:p w:rsidR="003A046A" w:rsidRDefault="003A046A" w:rsidP="009668A2">
      <w:pPr>
        <w:rPr>
          <w:rFonts w:ascii="Century Gothic" w:eastAsia="Times New Roman" w:hAnsi="Century Gothic" w:cs="Times New Roman"/>
          <w:color w:val="000000"/>
        </w:rPr>
      </w:pPr>
    </w:p>
    <w:p w:rsidR="003A046A" w:rsidRPr="003A046A" w:rsidRDefault="003A046A" w:rsidP="003A046A">
      <w:pPr>
        <w:pStyle w:val="Heading1"/>
      </w:pPr>
    </w:p>
    <w:p w:rsidR="009668A2" w:rsidRPr="009668A2" w:rsidRDefault="009668A2" w:rsidP="009668A2">
      <w:pPr>
        <w:rPr>
          <w:rFonts w:ascii="Century Gothic" w:eastAsia="Times New Roman" w:hAnsi="Century Gothic" w:cs="Times New Roman"/>
          <w:color w:val="000000"/>
          <w:sz w:val="20"/>
          <w:szCs w:val="20"/>
        </w:rPr>
      </w:pPr>
    </w:p>
    <w:p w:rsidR="009668A2" w:rsidRPr="009668A2" w:rsidRDefault="009668A2" w:rsidP="009668A2">
      <w:pPr>
        <w:rPr>
          <w:rFonts w:ascii="Century Gothic" w:hAnsi="Century Gothic"/>
          <w:color w:val="000000"/>
          <w:sz w:val="18"/>
          <w:szCs w:val="18"/>
        </w:rPr>
      </w:pPr>
    </w:p>
    <w:sectPr w:rsidR="009668A2" w:rsidRPr="009668A2" w:rsidSect="000002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564BD"/>
    <w:multiLevelType w:val="hybridMultilevel"/>
    <w:tmpl w:val="F220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F7316"/>
    <w:multiLevelType w:val="hybridMultilevel"/>
    <w:tmpl w:val="A74A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8B6053"/>
    <w:multiLevelType w:val="hybridMultilevel"/>
    <w:tmpl w:val="4A5E7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DE6746"/>
    <w:multiLevelType w:val="hybridMultilevel"/>
    <w:tmpl w:val="758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E46ACF"/>
    <w:multiLevelType w:val="hybridMultilevel"/>
    <w:tmpl w:val="924C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60276"/>
    <w:multiLevelType w:val="hybridMultilevel"/>
    <w:tmpl w:val="51000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0272AC"/>
    <w:multiLevelType w:val="hybridMultilevel"/>
    <w:tmpl w:val="F432D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668A2"/>
    <w:rsid w:val="00000299"/>
    <w:rsid w:val="003A046A"/>
    <w:rsid w:val="008E3097"/>
    <w:rsid w:val="0093413E"/>
    <w:rsid w:val="009668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299"/>
  </w:style>
  <w:style w:type="paragraph" w:styleId="Heading1">
    <w:name w:val="heading 1"/>
    <w:basedOn w:val="Normal"/>
    <w:link w:val="Heading1Char"/>
    <w:uiPriority w:val="9"/>
    <w:qFormat/>
    <w:rsid w:val="009668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8A2"/>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9668A2"/>
    <w:pPr>
      <w:ind w:left="720"/>
      <w:contextualSpacing/>
    </w:pPr>
  </w:style>
</w:styles>
</file>

<file path=word/webSettings.xml><?xml version="1.0" encoding="utf-8"?>
<w:webSettings xmlns:r="http://schemas.openxmlformats.org/officeDocument/2006/relationships" xmlns:w="http://schemas.openxmlformats.org/wordprocessingml/2006/main">
  <w:divs>
    <w:div w:id="76411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Steviq</dc:creator>
  <cp:lastModifiedBy>Steviq</cp:lastModifiedBy>
  <cp:revision>2</cp:revision>
  <dcterms:created xsi:type="dcterms:W3CDTF">2011-03-16T14:04:00Z</dcterms:created>
  <dcterms:modified xsi:type="dcterms:W3CDTF">2011-03-18T20:05:00Z</dcterms:modified>
</cp:coreProperties>
</file>